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09DF" w14:textId="225B401C" w:rsidR="00DB2E7E" w:rsidRPr="00531452" w:rsidRDefault="00542C81" w:rsidP="00531452">
      <w:pPr>
        <w:jc w:val="center"/>
        <w:rPr>
          <w:b/>
          <w:bCs/>
          <w:i/>
          <w:iCs/>
        </w:rPr>
      </w:pPr>
      <w:r w:rsidRPr="00CA29BF">
        <w:rPr>
          <w:b/>
          <w:bCs/>
        </w:rPr>
        <w:t xml:space="preserve">Summary and Analysis – </w:t>
      </w:r>
      <w:r w:rsidRPr="00EF57BA">
        <w:rPr>
          <w:b/>
          <w:bCs/>
          <w:i/>
          <w:iCs/>
        </w:rPr>
        <w:t>Clover</w:t>
      </w:r>
      <w:r w:rsidR="00531452">
        <w:rPr>
          <w:b/>
          <w:bCs/>
          <w:i/>
          <w:iCs/>
        </w:rPr>
        <w:t xml:space="preserve"> </w:t>
      </w:r>
      <w:r w:rsidR="00531452" w:rsidRPr="00531452">
        <w:rPr>
          <w:b/>
          <w:bCs/>
          <w:i/>
          <w:iCs/>
        </w:rPr>
        <w:t xml:space="preserve">Insurance Co. </w:t>
      </w:r>
      <w:r w:rsidRPr="00EF57BA">
        <w:rPr>
          <w:b/>
          <w:bCs/>
          <w:i/>
          <w:iCs/>
        </w:rPr>
        <w:t xml:space="preserve"> v. HHS</w:t>
      </w:r>
    </w:p>
    <w:p w14:paraId="7E070169" w14:textId="77777777" w:rsidR="00CA29BF" w:rsidRPr="00CA29BF" w:rsidRDefault="00CA29BF" w:rsidP="0072408D">
      <w:pPr>
        <w:rPr>
          <w:b/>
          <w:bCs/>
        </w:rPr>
      </w:pPr>
      <w:r w:rsidRPr="00CA29BF">
        <w:rPr>
          <w:b/>
          <w:bCs/>
        </w:rPr>
        <w:t>Summary</w:t>
      </w:r>
    </w:p>
    <w:p w14:paraId="4287F7B2" w14:textId="5D3C30AC" w:rsidR="00701982" w:rsidRPr="00701982" w:rsidRDefault="0072408D" w:rsidP="00701982">
      <w:r w:rsidRPr="001E0A77">
        <w:t xml:space="preserve">A federal district court in Georgia issued a sweeping </w:t>
      </w:r>
      <w:hyperlink r:id="rId5" w:history="1">
        <w:r w:rsidRPr="00527435">
          <w:rPr>
            <w:rStyle w:val="Hyperlink"/>
          </w:rPr>
          <w:t>ruling</w:t>
        </w:r>
      </w:hyperlink>
      <w:r w:rsidRPr="001E0A77">
        <w:t xml:space="preserve"> that could potentially undermine the legal </w:t>
      </w:r>
      <w:r w:rsidR="00BA4A21">
        <w:t>foundation</w:t>
      </w:r>
      <w:r w:rsidRPr="001E0A77">
        <w:t xml:space="preserve"> of the </w:t>
      </w:r>
      <w:r w:rsidR="00BA4A21" w:rsidRPr="001E0A77">
        <w:t xml:space="preserve">Medicare Advantage </w:t>
      </w:r>
      <w:r w:rsidR="00BA4A21">
        <w:t xml:space="preserve">(MA) </w:t>
      </w:r>
      <w:r w:rsidRPr="001E0A77">
        <w:t xml:space="preserve">Star Ratings program </w:t>
      </w:r>
      <w:r w:rsidR="00C204B2">
        <w:t>and invite</w:t>
      </w:r>
      <w:r w:rsidRPr="001E0A77">
        <w:t xml:space="preserve"> additional challenges to policies </w:t>
      </w:r>
      <w:r w:rsidR="00C204B2">
        <w:t>established through</w:t>
      </w:r>
      <w:r w:rsidRPr="001E0A77">
        <w:t xml:space="preserve"> sub-regulatory guidance.</w:t>
      </w:r>
      <w:r w:rsidR="00611F77">
        <w:t xml:space="preserve"> </w:t>
      </w:r>
      <w:r w:rsidR="00611F77" w:rsidRPr="003732BB">
        <w:t>The court found</w:t>
      </w:r>
      <w:r w:rsidR="00CC1192">
        <w:t xml:space="preserve"> that</w:t>
      </w:r>
      <w:r w:rsidR="00611F77" w:rsidRPr="003732BB">
        <w:t xml:space="preserve"> </w:t>
      </w:r>
      <w:r w:rsidR="007D39C1">
        <w:t xml:space="preserve">the Centers for Medicare and Medicaid Services (CMS) </w:t>
      </w:r>
      <w:r w:rsidR="00611F77" w:rsidRPr="003732BB">
        <w:t xml:space="preserve">improperly </w:t>
      </w:r>
      <w:r w:rsidR="00CC1192">
        <w:t>relied on</w:t>
      </w:r>
      <w:r w:rsidR="00611F77" w:rsidRPr="003732BB">
        <w:t xml:space="preserve"> measures based on data not collected </w:t>
      </w:r>
      <w:r w:rsidR="003940F3">
        <w:t>through the</w:t>
      </w:r>
      <w:r w:rsidR="00611F77" w:rsidRPr="003732BB">
        <w:t xml:space="preserve"> statutor</w:t>
      </w:r>
      <w:r w:rsidR="003940F3">
        <w:t>ily required measure</w:t>
      </w:r>
      <w:r w:rsidR="005C5965">
        <w:t>ment systems and failed to meet</w:t>
      </w:r>
      <w:r w:rsidR="00611F77" w:rsidRPr="003732BB">
        <w:t xml:space="preserve"> notice-and-comment requirements</w:t>
      </w:r>
      <w:r w:rsidR="00E53D56">
        <w:t xml:space="preserve"> </w:t>
      </w:r>
      <w:r w:rsidR="00E53D56" w:rsidRPr="00E53D56">
        <w:t>for certain measures</w:t>
      </w:r>
      <w:r w:rsidR="00611F77" w:rsidRPr="003732BB">
        <w:t>.</w:t>
      </w:r>
      <w:r w:rsidR="00611F77">
        <w:t xml:space="preserve"> </w:t>
      </w:r>
      <w:r w:rsidR="00E53D56">
        <w:t>E</w:t>
      </w:r>
      <w:r w:rsidR="00611F77" w:rsidRPr="003732BB">
        <w:t>mphasiz</w:t>
      </w:r>
      <w:r w:rsidR="00E53D56">
        <w:t>ing</w:t>
      </w:r>
      <w:r w:rsidR="00611F77" w:rsidRPr="003732BB">
        <w:t xml:space="preserve"> that Star Ratings </w:t>
      </w:r>
      <w:r w:rsidR="00D21D7F">
        <w:t>affect both plan</w:t>
      </w:r>
      <w:r w:rsidR="00611F77" w:rsidRPr="003732BB">
        <w:t xml:space="preserve"> payments and rebates, </w:t>
      </w:r>
      <w:r w:rsidR="00D21D7F">
        <w:t>the court</w:t>
      </w:r>
      <w:r w:rsidR="00611F77" w:rsidRPr="003732BB">
        <w:t xml:space="preserve"> ordered CMS to recalculate </w:t>
      </w:r>
      <w:r w:rsidR="002D3BF7">
        <w:t xml:space="preserve">the 2026 </w:t>
      </w:r>
      <w:r w:rsidR="002D3BF7" w:rsidRPr="003732BB">
        <w:t xml:space="preserve">Star Rating </w:t>
      </w:r>
      <w:r w:rsidR="002D3BF7">
        <w:t xml:space="preserve">for </w:t>
      </w:r>
      <w:r w:rsidR="00611F77" w:rsidRPr="003732BB">
        <w:t>Clover</w:t>
      </w:r>
      <w:r w:rsidR="00D97E0C">
        <w:t xml:space="preserve"> Insurance Company (Clover)</w:t>
      </w:r>
      <w:r w:rsidR="00701982">
        <w:t xml:space="preserve"> con</w:t>
      </w:r>
      <w:r w:rsidR="00701982" w:rsidRPr="00701982">
        <w:t>sistent with the statute and applicable procedural requirements.</w:t>
      </w:r>
    </w:p>
    <w:p w14:paraId="3CE42141" w14:textId="77777777" w:rsidR="006B4279" w:rsidRPr="0072408D" w:rsidRDefault="006B4279" w:rsidP="006B4279">
      <w:pPr>
        <w:rPr>
          <w:b/>
          <w:bCs/>
        </w:rPr>
      </w:pPr>
      <w:r>
        <w:rPr>
          <w:b/>
          <w:bCs/>
        </w:rPr>
        <w:t>Litigation</w:t>
      </w:r>
    </w:p>
    <w:p w14:paraId="16DC8E50" w14:textId="06BEDDB6" w:rsidR="006B4279" w:rsidRDefault="00E845E8" w:rsidP="006B4279">
      <w:r w:rsidRPr="00E845E8">
        <w:t>Clover filed suit against the Department of Health and Human Services (HHS) and CMS on November 7, 2025, in the U.S. District Court for the Southern District of Georgia</w:t>
      </w:r>
      <w:r>
        <w:t xml:space="preserve"> </w:t>
      </w:r>
      <w:r w:rsidR="006B4279">
        <w:t xml:space="preserve">(Docket </w:t>
      </w:r>
      <w:r w:rsidR="006B4279" w:rsidRPr="005B1373">
        <w:t>2:25-cv-00142</w:t>
      </w:r>
      <w:r w:rsidR="006B4279">
        <w:t>). Clover moved for summary judgment on February 2, 2026 and the Court issued this opinion on May 27, 2026.</w:t>
      </w:r>
      <w:r w:rsidR="00022135">
        <w:t xml:space="preserve"> CMS may appeal the district court’s ruling</w:t>
      </w:r>
      <w:r w:rsidR="006F5BA6">
        <w:t xml:space="preserve"> to the </w:t>
      </w:r>
      <w:r w:rsidR="006A3256" w:rsidRPr="006A3256">
        <w:t>U.S. Court of Appeals for the Eleventh Circuit</w:t>
      </w:r>
      <w:r w:rsidR="00957BFF">
        <w:t>.</w:t>
      </w:r>
    </w:p>
    <w:p w14:paraId="11F4972E" w14:textId="77777777" w:rsidR="009A4F7B" w:rsidRDefault="009A4F7B">
      <w:pPr>
        <w:rPr>
          <w:b/>
          <w:bCs/>
        </w:rPr>
      </w:pPr>
      <w:r>
        <w:rPr>
          <w:b/>
          <w:bCs/>
        </w:rPr>
        <w:t>Background</w:t>
      </w:r>
    </w:p>
    <w:p w14:paraId="620FCF3D" w14:textId="2ABE64CC" w:rsidR="000A5DBC" w:rsidRPr="000A5DBC" w:rsidRDefault="000A5DBC">
      <w:pPr>
        <w:rPr>
          <w:i/>
          <w:iCs/>
        </w:rPr>
      </w:pPr>
      <w:r w:rsidRPr="000A5DBC">
        <w:rPr>
          <w:i/>
          <w:iCs/>
        </w:rPr>
        <w:t>Star Ratings</w:t>
      </w:r>
    </w:p>
    <w:p w14:paraId="2F0B6CD4" w14:textId="676C96C0" w:rsidR="009A4F7B" w:rsidRDefault="004124CC">
      <w:r w:rsidRPr="004124CC">
        <w:t>Each fall, CMS assigns Star Ratings to health plans on a scale of one to five stars, with one star indicating the lowest quality and five stars reflecting the highest quality.</w:t>
      </w:r>
      <w:r>
        <w:t xml:space="preserve"> </w:t>
      </w:r>
      <w:r w:rsidR="00CC2AC7">
        <w:t>Star Ratings</w:t>
      </w:r>
      <w:r w:rsidR="00ED49E2" w:rsidRPr="00ED49E2">
        <w:t xml:space="preserve"> are measured in half-star increments. </w:t>
      </w:r>
      <w:r w:rsidR="009C6DC5" w:rsidRPr="009C6DC5">
        <w:t>Before the annual release, CMS provides a “plan preview” period</w:t>
      </w:r>
      <w:r w:rsidR="00B55517" w:rsidRPr="00B55517">
        <w:t xml:space="preserve"> during which </w:t>
      </w:r>
      <w:r w:rsidR="00513379">
        <w:t>Medicare Advantage organization</w:t>
      </w:r>
      <w:r w:rsidR="00B55517" w:rsidRPr="00B55517">
        <w:t>s</w:t>
      </w:r>
      <w:r w:rsidR="00513379">
        <w:t xml:space="preserve"> (MAOs)</w:t>
      </w:r>
      <w:r w:rsidR="00B55517" w:rsidRPr="00B55517">
        <w:t xml:space="preserve"> can preview certain Star Ratings data and preliminary calculations. </w:t>
      </w:r>
    </w:p>
    <w:p w14:paraId="5872D183" w14:textId="7B3C780A" w:rsidR="00CB52CC" w:rsidRDefault="00572890">
      <w:r w:rsidRPr="00572890">
        <w:t>CMS uses a variety of quality and performance measures, including 33 Part C measures for MA plans and 12 Part D measures for Prescription Drug Plans (PDPs).</w:t>
      </w:r>
      <w:r w:rsidR="009B5D2A" w:rsidRPr="009B5D2A">
        <w:t xml:space="preserve"> The measures considered and their respective weights may change from year to year. </w:t>
      </w:r>
      <w:r w:rsidR="00A9522A" w:rsidRPr="00A9522A">
        <w:t xml:space="preserve">These measures are calculated based on a variety of data sources, and CMS employs various calculation methods depending on the source of the data being analyzed. </w:t>
      </w:r>
      <w:r w:rsidR="0001408B">
        <w:t>The</w:t>
      </w:r>
      <w:r w:rsidR="00A9522A" w:rsidRPr="00A9522A">
        <w:t xml:space="preserve"> four categories of data sources used to calculate measure-level ratings </w:t>
      </w:r>
      <w:r w:rsidR="00C76921">
        <w:t>are</w:t>
      </w:r>
      <w:r w:rsidR="00A9522A" w:rsidRPr="00A9522A">
        <w:t xml:space="preserve">: data collected by health and drug plans, surveys of plan enrollees, data collected by CMS contractors, and administrative data collected by CMS. </w:t>
      </w:r>
    </w:p>
    <w:p w14:paraId="109F89D9" w14:textId="6D3D001E" w:rsidR="00A9522A" w:rsidRDefault="00BA6AF1">
      <w:r>
        <w:t xml:space="preserve">The </w:t>
      </w:r>
      <w:r w:rsidR="00A9522A" w:rsidRPr="00A9522A">
        <w:t xml:space="preserve">data </w:t>
      </w:r>
      <w:r>
        <w:t>gathered by CMS</w:t>
      </w:r>
      <w:r w:rsidR="00A9522A" w:rsidRPr="00A9522A">
        <w:t xml:space="preserve"> falls into two primary categories: (1) data from distinct “measurement systems,” and (2) data collected pursuant to some other source of </w:t>
      </w:r>
      <w:r w:rsidR="00A9522A" w:rsidRPr="00A9522A">
        <w:lastRenderedPageBreak/>
        <w:t xml:space="preserve">authority. The three </w:t>
      </w:r>
      <w:r w:rsidR="00EF57BA">
        <w:t>primary</w:t>
      </w:r>
      <w:r w:rsidR="00A9522A" w:rsidRPr="00A9522A">
        <w:t xml:space="preserve"> </w:t>
      </w:r>
      <w:r w:rsidR="00036152">
        <w:t xml:space="preserve">statutory </w:t>
      </w:r>
      <w:r w:rsidR="00A9522A" w:rsidRPr="00A9522A">
        <w:t xml:space="preserve">measurement systems </w:t>
      </w:r>
      <w:r w:rsidR="00B526A8">
        <w:t>are</w:t>
      </w:r>
      <w:r w:rsidR="00486AB2">
        <w:t>: (1)</w:t>
      </w:r>
      <w:r w:rsidR="00A9522A" w:rsidRPr="00A9522A">
        <w:t xml:space="preserve"> the Healthcare Effectiveness Data and Information Set (HEDIS), </w:t>
      </w:r>
      <w:r w:rsidR="00915CFD" w:rsidRPr="00915CFD">
        <w:t>a set of standardized performance measures</w:t>
      </w:r>
      <w:r w:rsidR="00A9522A" w:rsidRPr="00A9522A">
        <w:t xml:space="preserve">; (2) the Medicare Health Outcomes Survey (HOS), </w:t>
      </w:r>
      <w:r w:rsidR="00915CFD" w:rsidRPr="00915CFD">
        <w:t>which captures patient-reported outcomes</w:t>
      </w:r>
      <w:r w:rsidR="00A9522A" w:rsidRPr="00A9522A">
        <w:t>; and (3) the</w:t>
      </w:r>
      <w:r w:rsidR="00913688">
        <w:t xml:space="preserve"> </w:t>
      </w:r>
      <w:r w:rsidR="00913688" w:rsidRPr="00913688">
        <w:t xml:space="preserve">Consumer Assessment of Healthcare Providers and Systems (CAHPS), </w:t>
      </w:r>
      <w:r w:rsidR="00915596" w:rsidRPr="00915596">
        <w:t>which surveys beneficiaries about their care experiences</w:t>
      </w:r>
      <w:r w:rsidR="00913688" w:rsidRPr="00913688">
        <w:t xml:space="preserve">. </w:t>
      </w:r>
    </w:p>
    <w:p w14:paraId="6BCD77AF" w14:textId="77777777" w:rsidR="00DD33C7" w:rsidRPr="00DD33C7" w:rsidRDefault="00DD33C7" w:rsidP="00DD33C7">
      <w:r w:rsidRPr="00DD33C7">
        <w:t>CMS uses these data sources to calculate measure-level ratings, weights those ratings, and derive each plan’s overall Star Rating. CMS then publishes the ratings for beneficiaries, including through the Medicare Plan Finder. The ratings matter both commercially and financially: higher-rated plans may be more attractive to beneficiaries, and plans with ratings of four stars or higher may receive higher payments and larger rebates through the MA payment system.</w:t>
      </w:r>
    </w:p>
    <w:p w14:paraId="68116004" w14:textId="20F67BD6" w:rsidR="005C534D" w:rsidRPr="005C534D" w:rsidRDefault="001C1AB4">
      <w:pPr>
        <w:rPr>
          <w:i/>
          <w:iCs/>
        </w:rPr>
      </w:pPr>
      <w:r>
        <w:rPr>
          <w:i/>
          <w:iCs/>
        </w:rPr>
        <w:t>Court Decision</w:t>
      </w:r>
    </w:p>
    <w:p w14:paraId="0274A040" w14:textId="62362AD4" w:rsidR="006B4279" w:rsidRDefault="006B4279" w:rsidP="006B4279">
      <w:r w:rsidRPr="001E0A77">
        <w:t>The case</w:t>
      </w:r>
      <w:r w:rsidR="005C534D">
        <w:t xml:space="preserve"> was</w:t>
      </w:r>
      <w:r w:rsidRPr="001E0A77">
        <w:t xml:space="preserve"> brought by Clover </w:t>
      </w:r>
      <w:r w:rsidR="005C534D">
        <w:t>as a</w:t>
      </w:r>
      <w:r w:rsidRPr="001E0A77">
        <w:t xml:space="preserve"> challeng</w:t>
      </w:r>
      <w:r w:rsidR="005C534D">
        <w:t>e to</w:t>
      </w:r>
      <w:r w:rsidRPr="001E0A77">
        <w:t xml:space="preserve"> its 2026 Star Ratings. </w:t>
      </w:r>
      <w:r w:rsidR="00652E97" w:rsidRPr="00652E97">
        <w:t>Challenges to Star Ratings have become increasingly common, as MA plans seek to improve their ratings and the associated financial consequences through litigation.</w:t>
      </w:r>
      <w:r w:rsidR="00652E97">
        <w:t xml:space="preserve"> </w:t>
      </w:r>
      <w:r w:rsidR="00F6046D" w:rsidRPr="00F6046D">
        <w:t>Whereas most prior disputes have focused on calculation errors, methodology, or scores on individual measures, Clover challenged the legal validity of 20 of the 45 measures themselves.</w:t>
      </w:r>
    </w:p>
    <w:p w14:paraId="0A3BD2BD" w14:textId="77777777" w:rsidR="00E744CF" w:rsidRPr="00E744CF" w:rsidRDefault="006B4279" w:rsidP="00E744CF">
      <w:r w:rsidRPr="001E0A77">
        <w:t xml:space="preserve">The court agreed with Clover’s </w:t>
      </w:r>
      <w:r w:rsidR="00A02A12">
        <w:t>argument</w:t>
      </w:r>
      <w:r w:rsidRPr="001E0A77">
        <w:t xml:space="preserve">, ruling those 20 measures invalid. </w:t>
      </w:r>
      <w:r w:rsidR="00B12737" w:rsidRPr="00B12737">
        <w:t>First, the court invalidated 10 measures on the ground that they were not based on the data collection systems identified in the statute.</w:t>
      </w:r>
      <w:r w:rsidR="00B12737">
        <w:t xml:space="preserve"> </w:t>
      </w:r>
      <w:r w:rsidR="00B12737" w:rsidRPr="00B12737">
        <w:t>The court interpreted the statute authorizing Star Ratings to require that ratings be based on the specified measurement systems—HEDIS, CAHPS, and HOS.</w:t>
      </w:r>
      <w:r w:rsidRPr="001E0A77">
        <w:t xml:space="preserve"> CMS has long interpreted this provision to be non-exclusive, allowing the agency to add additional measures drawn from other data collection systems. </w:t>
      </w:r>
      <w:r w:rsidR="004B09CD" w:rsidRPr="004B09CD">
        <w:t>For example, current Star Ratings measures such as medication adherence, call center performance, and Medication Therapy Management completion rely on Part D data or CMS compliance monitoring rather than the statutory measurement systems.</w:t>
      </w:r>
      <w:r w:rsidR="004B09CD">
        <w:t xml:space="preserve"> </w:t>
      </w:r>
      <w:r w:rsidR="00E744CF">
        <w:t>T</w:t>
      </w:r>
      <w:r w:rsidRPr="001E0A77">
        <w:t xml:space="preserve">he court agreed with </w:t>
      </w:r>
      <w:r w:rsidR="00E744CF" w:rsidRPr="00E744CF">
        <w:t>Clover’s narrower reading of the phrase “based on” and invalidated 10 measures that did not derive from HEDIS, CAHPS, or HOS.</w:t>
      </w:r>
    </w:p>
    <w:p w14:paraId="07A6AC2E" w14:textId="77777777" w:rsidR="00D65A88" w:rsidRPr="00D65A88" w:rsidRDefault="007D4353" w:rsidP="00D65A88">
      <w:r w:rsidRPr="007D4353">
        <w:t>The court, however, rejected Clover’s argument that CMS must use HEDIS, CAHPS, and HOS exactly as they existed in 2003, when Congress incorporated those systems into the statute.</w:t>
      </w:r>
      <w:r>
        <w:t xml:space="preserve"> </w:t>
      </w:r>
      <w:r w:rsidR="00B43D1F">
        <w:t>The court determined that</w:t>
      </w:r>
      <w:r w:rsidR="006B4279" w:rsidRPr="001E0A77">
        <w:t xml:space="preserve"> CMS </w:t>
      </w:r>
      <w:r w:rsidR="00B43D1F">
        <w:t xml:space="preserve">may </w:t>
      </w:r>
      <w:r w:rsidR="006B4279" w:rsidRPr="001E0A77">
        <w:t xml:space="preserve">expand and adopt changes to those systems consistent with their original scopes. </w:t>
      </w:r>
      <w:r>
        <w:t>At the same time</w:t>
      </w:r>
      <w:r w:rsidR="00280885">
        <w:t>, t</w:t>
      </w:r>
      <w:r w:rsidR="006B4279" w:rsidRPr="001E0A77">
        <w:t>he court agree</w:t>
      </w:r>
      <w:r w:rsidR="00280885">
        <w:t>d</w:t>
      </w:r>
      <w:r w:rsidR="006B4279" w:rsidRPr="001E0A77">
        <w:t xml:space="preserve"> that CMS failed to </w:t>
      </w:r>
      <w:r w:rsidR="00D65A88">
        <w:t>use</w:t>
      </w:r>
      <w:r w:rsidR="006B4279" w:rsidRPr="001E0A77">
        <w:t xml:space="preserve"> </w:t>
      </w:r>
      <w:r w:rsidR="00D65A88" w:rsidRPr="00D65A88">
        <w:t>notice-and-comment rulemaking when incorporating certain measures and sub-regulatory technical specifications into the Star Ratings methodology, and it therefore invalidated an additional 10 HEDIS/CAHPS/HOS-based measures.</w:t>
      </w:r>
    </w:p>
    <w:p w14:paraId="4AE636C0" w14:textId="39678544" w:rsidR="000E550C" w:rsidRPr="0072408D" w:rsidRDefault="000E550C">
      <w:pPr>
        <w:rPr>
          <w:b/>
          <w:bCs/>
        </w:rPr>
      </w:pPr>
      <w:r w:rsidRPr="0072408D">
        <w:rPr>
          <w:b/>
          <w:bCs/>
        </w:rPr>
        <w:lastRenderedPageBreak/>
        <w:t>Potential Impact</w:t>
      </w:r>
    </w:p>
    <w:p w14:paraId="08B1A1DB" w14:textId="77777777" w:rsidR="00765B87" w:rsidRPr="00CA366D" w:rsidRDefault="00765B87" w:rsidP="00765B87">
      <w:r w:rsidRPr="001E0A77">
        <w:t xml:space="preserve">The decision is </w:t>
      </w:r>
      <w:r>
        <w:t xml:space="preserve">notable </w:t>
      </w:r>
      <w:r w:rsidRPr="007C32FF">
        <w:t>because it unsettles long-standing CMS practices that had previously faced little judicial resistance and reflects the broader shift in administrative law following recent Supreme Court decisions.</w:t>
      </w:r>
      <w:r w:rsidRPr="001E0A77">
        <w:t xml:space="preserve"> </w:t>
      </w:r>
      <w:r w:rsidRPr="00F02252">
        <w:t>In particular, courts are now less inclined to defer to agency interpretations of ambiguous statutes, which creates greater litigation risk for long-standing regulatory approaches that were developed outside the statutory text.</w:t>
      </w:r>
      <w:r>
        <w:t xml:space="preserve"> </w:t>
      </w:r>
      <w:r w:rsidRPr="00491A66">
        <w:t>In parallel, recent case law has reinforced the importance of notice-and-comment rulemaking, making agencies more vulnerable when they rely on manuals, technical specifications, or other sub-regulatory guidance to implement policies with meaningful legal or financial consequences.</w:t>
      </w:r>
      <w:r>
        <w:t xml:space="preserve"> </w:t>
      </w:r>
      <w:r w:rsidRPr="00CA366D">
        <w:t>This case illustrates that CMS’s long-standing reliance on interpretive flexibility and sub-regulatory implementation tools may now be more vulnerable to judicial challenge, particularly where those choices affect payment, plan performance, or competitive positioning in MA.</w:t>
      </w:r>
    </w:p>
    <w:p w14:paraId="61621516" w14:textId="5E88DE8E" w:rsidR="00510F80" w:rsidRPr="00510F80" w:rsidRDefault="00510F80" w:rsidP="00615DD4">
      <w:pPr>
        <w:rPr>
          <w:i/>
          <w:iCs/>
        </w:rPr>
      </w:pPr>
      <w:r w:rsidRPr="00510F80">
        <w:rPr>
          <w:i/>
          <w:iCs/>
        </w:rPr>
        <w:t>Immediate Effect</w:t>
      </w:r>
    </w:p>
    <w:p w14:paraId="5DAC6676" w14:textId="656EA94E" w:rsidR="00615DD4" w:rsidRPr="00615DD4" w:rsidRDefault="00050C7D" w:rsidP="00615DD4">
      <w:r w:rsidRPr="00050C7D">
        <w:t>In the near term, the decision applies directly only to Clover’s 2026 Star Rating, which must be recalculated without the 20 invalidated measures, unless the ruling is stayed or reversed on appeal.</w:t>
      </w:r>
      <w:r>
        <w:t xml:space="preserve"> </w:t>
      </w:r>
      <w:r w:rsidR="00615DD4" w:rsidRPr="00615DD4">
        <w:t>The reasoning, however, could have implications well beyond Clover. If adopted by other courts, it could invite broader challenges to the structure of the Star Ratings program, cast doubt on the continued use of measures derived from non-statutory data sources, and pressure CMS to undertake more formal rulemaking to preserve key aspects of the program.</w:t>
      </w:r>
    </w:p>
    <w:p w14:paraId="3FBD5E21" w14:textId="77777777" w:rsidR="00B844D0" w:rsidRPr="00673FAF" w:rsidRDefault="00B844D0" w:rsidP="00B844D0">
      <w:pPr>
        <w:rPr>
          <w:i/>
          <w:iCs/>
        </w:rPr>
      </w:pPr>
      <w:r w:rsidRPr="00673FAF">
        <w:rPr>
          <w:i/>
          <w:iCs/>
        </w:rPr>
        <w:t>Medium-Term Effect</w:t>
      </w:r>
    </w:p>
    <w:p w14:paraId="542E0C2D" w14:textId="77777777" w:rsidR="00793B11" w:rsidRPr="00B62F74" w:rsidRDefault="00D10DE9" w:rsidP="00793B11">
      <w:r w:rsidRPr="00F65106">
        <w:t xml:space="preserve">If the decision stands, </w:t>
      </w:r>
      <w:r>
        <w:t>it</w:t>
      </w:r>
      <w:r w:rsidR="002E191E">
        <w:t xml:space="preserve"> introduces </w:t>
      </w:r>
      <w:r w:rsidR="002E191E" w:rsidRPr="00B325E8">
        <w:t xml:space="preserve">uncertainty for </w:t>
      </w:r>
      <w:r w:rsidR="00AF5F03">
        <w:t>plans</w:t>
      </w:r>
      <w:r w:rsidR="004A47E7">
        <w:t>, beneficiaries,</w:t>
      </w:r>
      <w:r w:rsidR="00AF5F03">
        <w:t xml:space="preserve"> and CMS for </w:t>
      </w:r>
      <w:r w:rsidR="002E191E" w:rsidRPr="00B325E8">
        <w:t>upcoming Star Ratings cycles</w:t>
      </w:r>
      <w:r>
        <w:t xml:space="preserve">. </w:t>
      </w:r>
      <w:r w:rsidR="00793B11" w:rsidRPr="00B62F74">
        <w:t>Because Star Ratings serve both as a consumer-facing quality signal and a payment mechanism, instability in the program could have implications for plan participation, benefit design, and beneficiary decision-making.</w:t>
      </w:r>
    </w:p>
    <w:p w14:paraId="2F88DBD3" w14:textId="29CE741F" w:rsidR="00510F80" w:rsidRPr="00510F80" w:rsidRDefault="00510F80" w:rsidP="00510F80">
      <w:r w:rsidRPr="00510F80">
        <w:t>The ruling may also encourage additional MA</w:t>
      </w:r>
      <w:r w:rsidR="00802E36">
        <w:t>O</w:t>
      </w:r>
      <w:r w:rsidRPr="00510F80">
        <w:t>s to challenge Star Ratings determinations, particularly where measure removals could materially affect eligibility for quality bonus payments or rebate levels. Even if Clover’s relief is case-specific, the opinion provides a roadmap for plans seeking to challenge both the composition of the measure set and the procedures CMS uses to adopt and maintain it.</w:t>
      </w:r>
    </w:p>
    <w:p w14:paraId="1054D497" w14:textId="59B070EC" w:rsidR="00673FAF" w:rsidRPr="00673FAF" w:rsidRDefault="00673FAF">
      <w:pPr>
        <w:rPr>
          <w:i/>
          <w:iCs/>
        </w:rPr>
      </w:pPr>
      <w:r w:rsidRPr="00673FAF">
        <w:rPr>
          <w:i/>
          <w:iCs/>
        </w:rPr>
        <w:t>Long-Term Effect</w:t>
      </w:r>
    </w:p>
    <w:p w14:paraId="1BA9FB9D" w14:textId="778D9CB7" w:rsidR="0080729E" w:rsidRPr="00BB4E9C" w:rsidRDefault="006D5FD8" w:rsidP="0080729E">
      <w:r>
        <w:t>T</w:t>
      </w:r>
      <w:r w:rsidR="0080729E" w:rsidRPr="00BB4E9C">
        <w:t xml:space="preserve">he decision reflects the changing administrative law environment. Courts are now less inclined to defer to agency interpretations of ambiguous statutes, and recent precedent </w:t>
      </w:r>
      <w:r w:rsidR="0080729E" w:rsidRPr="00BB4E9C">
        <w:lastRenderedPageBreak/>
        <w:t>has reinforced the importance of notice-and-comment rulemaking where agency actions carry meaningful legal or financial consequences. As a result, CMS’s long-standing reliance on interpretive flexibility, manuals, and technical guidance may face greater judicial scrutiny. If the decision stands, CMS may ultimately need to pursue more formal rulemaking to preserve key elements of the Star Ratings program.</w:t>
      </w:r>
    </w:p>
    <w:p w14:paraId="53B65707" w14:textId="3AC717F9" w:rsidR="00BB4E9C" w:rsidRPr="00BB4E9C" w:rsidRDefault="00BB4E9C" w:rsidP="00BB4E9C">
      <w:r w:rsidRPr="00BB4E9C">
        <w:t xml:space="preserve">The opinion may also have significance beyond Star Ratings. To the extent it reflects a broader judicial skepticism toward sub-regulatory policymaking, it could invite challenges to other </w:t>
      </w:r>
      <w:r w:rsidR="00371CBA">
        <w:t>MA</w:t>
      </w:r>
      <w:r w:rsidRPr="00BB4E9C">
        <w:t xml:space="preserve"> and Part D policies that have been operationalized through manuals, HPMS memoranda, annual technical guidance, or similar informal vehicles.</w:t>
      </w:r>
    </w:p>
    <w:p w14:paraId="43D1F37E" w14:textId="42784B53" w:rsidR="001E0A77" w:rsidRPr="0051083A" w:rsidRDefault="00CD2BAF" w:rsidP="001E0A77">
      <w:pPr>
        <w:rPr>
          <w:b/>
          <w:bCs/>
        </w:rPr>
      </w:pPr>
      <w:r w:rsidRPr="0051083A">
        <w:rPr>
          <w:b/>
          <w:bCs/>
        </w:rPr>
        <w:t>Conclusion</w:t>
      </w:r>
    </w:p>
    <w:p w14:paraId="0FA059AE" w14:textId="514B1461" w:rsidR="000453B2" w:rsidRPr="000453B2" w:rsidRDefault="000453B2" w:rsidP="000453B2">
      <w:r w:rsidRPr="000453B2">
        <w:t xml:space="preserve">Ultimately, this decision introduces meaningful legal and operational uncertainty into the </w:t>
      </w:r>
      <w:r w:rsidR="00371CBA">
        <w:t>MA</w:t>
      </w:r>
      <w:r w:rsidRPr="000453B2">
        <w:t xml:space="preserve"> Star Ratings program, a framework that serves as both a critical quality signal and a core component of plan payment policy. By narrowing the scope of permissible measures and reinforcing the need for notice-and-comment rulemaking, the court’s analysis places long-standing CMS reliance on sub-regulatory guidance at increased risk. If sustained, the ruling could disrupt the predictability that plans rely on for benefit design, formulary management, and quality improvement investments, while also inviting broader challenges to other MA and Part D policies implemented outside formal rulemaking channels. To preserve program stability and maintain confidence among plans and beneficiaries, CMS may need to more clearly anchor Star Ratings measures in statutory authority and transparent regulatory processes.</w:t>
      </w:r>
    </w:p>
    <w:p w14:paraId="2AE7747B" w14:textId="77777777" w:rsidR="00CD2BAF" w:rsidRPr="001E0A77" w:rsidRDefault="00CD2BAF" w:rsidP="001E0A77"/>
    <w:p w14:paraId="39FC6394" w14:textId="77777777" w:rsidR="001E0A77" w:rsidRPr="001E0A77" w:rsidRDefault="001E0A77" w:rsidP="001E0A77"/>
    <w:sectPr w:rsidR="001E0A77" w:rsidRPr="001E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889"/>
    <w:multiLevelType w:val="multilevel"/>
    <w:tmpl w:val="3720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21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7F"/>
    <w:rsid w:val="0001408B"/>
    <w:rsid w:val="00022135"/>
    <w:rsid w:val="00022283"/>
    <w:rsid w:val="00036152"/>
    <w:rsid w:val="00036436"/>
    <w:rsid w:val="000453B2"/>
    <w:rsid w:val="00050C7D"/>
    <w:rsid w:val="00054F8A"/>
    <w:rsid w:val="00065E4D"/>
    <w:rsid w:val="000A5DBC"/>
    <w:rsid w:val="000E550C"/>
    <w:rsid w:val="001400E2"/>
    <w:rsid w:val="00171FB1"/>
    <w:rsid w:val="001A178E"/>
    <w:rsid w:val="001B16B2"/>
    <w:rsid w:val="001C1AB4"/>
    <w:rsid w:val="001D4328"/>
    <w:rsid w:val="001E0A77"/>
    <w:rsid w:val="00232B5D"/>
    <w:rsid w:val="00280885"/>
    <w:rsid w:val="00296E95"/>
    <w:rsid w:val="002A3F44"/>
    <w:rsid w:val="002C2EFC"/>
    <w:rsid w:val="002C7F27"/>
    <w:rsid w:val="002D3BF7"/>
    <w:rsid w:val="002E191E"/>
    <w:rsid w:val="002E44A6"/>
    <w:rsid w:val="00364E1A"/>
    <w:rsid w:val="00371CBA"/>
    <w:rsid w:val="00381548"/>
    <w:rsid w:val="0038267F"/>
    <w:rsid w:val="003940F3"/>
    <w:rsid w:val="003B27E2"/>
    <w:rsid w:val="003B4136"/>
    <w:rsid w:val="003D10AE"/>
    <w:rsid w:val="004019CD"/>
    <w:rsid w:val="004124CC"/>
    <w:rsid w:val="00437D9A"/>
    <w:rsid w:val="0046382F"/>
    <w:rsid w:val="00486AB2"/>
    <w:rsid w:val="00491A66"/>
    <w:rsid w:val="004A47E7"/>
    <w:rsid w:val="004B09CD"/>
    <w:rsid w:val="004D455C"/>
    <w:rsid w:val="0051083A"/>
    <w:rsid w:val="00510F80"/>
    <w:rsid w:val="00513379"/>
    <w:rsid w:val="00527435"/>
    <w:rsid w:val="00531452"/>
    <w:rsid w:val="00542C81"/>
    <w:rsid w:val="00572890"/>
    <w:rsid w:val="005B1373"/>
    <w:rsid w:val="005B72C9"/>
    <w:rsid w:val="005C534D"/>
    <w:rsid w:val="005C5965"/>
    <w:rsid w:val="00611F77"/>
    <w:rsid w:val="00615DD4"/>
    <w:rsid w:val="00652E97"/>
    <w:rsid w:val="00673FAF"/>
    <w:rsid w:val="00683659"/>
    <w:rsid w:val="006A143C"/>
    <w:rsid w:val="006A3256"/>
    <w:rsid w:val="006A40CC"/>
    <w:rsid w:val="006B4279"/>
    <w:rsid w:val="006B5683"/>
    <w:rsid w:val="006D5FD8"/>
    <w:rsid w:val="006F5BA6"/>
    <w:rsid w:val="00701982"/>
    <w:rsid w:val="0070405F"/>
    <w:rsid w:val="0072408D"/>
    <w:rsid w:val="00737453"/>
    <w:rsid w:val="0074452B"/>
    <w:rsid w:val="007645EF"/>
    <w:rsid w:val="00765B87"/>
    <w:rsid w:val="00785EA1"/>
    <w:rsid w:val="00793B11"/>
    <w:rsid w:val="007A4E9D"/>
    <w:rsid w:val="007B6B10"/>
    <w:rsid w:val="007C32FF"/>
    <w:rsid w:val="007D39C1"/>
    <w:rsid w:val="007D4353"/>
    <w:rsid w:val="007E1B5E"/>
    <w:rsid w:val="0080226E"/>
    <w:rsid w:val="00802E36"/>
    <w:rsid w:val="0080729E"/>
    <w:rsid w:val="00865B75"/>
    <w:rsid w:val="008B423D"/>
    <w:rsid w:val="008B519F"/>
    <w:rsid w:val="009066AC"/>
    <w:rsid w:val="00913688"/>
    <w:rsid w:val="00915596"/>
    <w:rsid w:val="00915CFD"/>
    <w:rsid w:val="00957BFF"/>
    <w:rsid w:val="00967BF0"/>
    <w:rsid w:val="009A4F7B"/>
    <w:rsid w:val="009B5D2A"/>
    <w:rsid w:val="009C6DC5"/>
    <w:rsid w:val="009D3937"/>
    <w:rsid w:val="00A02A12"/>
    <w:rsid w:val="00A2262E"/>
    <w:rsid w:val="00A30AD0"/>
    <w:rsid w:val="00A80D06"/>
    <w:rsid w:val="00A9522A"/>
    <w:rsid w:val="00AF5F03"/>
    <w:rsid w:val="00B039F1"/>
    <w:rsid w:val="00B04874"/>
    <w:rsid w:val="00B12737"/>
    <w:rsid w:val="00B325E8"/>
    <w:rsid w:val="00B43D1F"/>
    <w:rsid w:val="00B43D80"/>
    <w:rsid w:val="00B526A8"/>
    <w:rsid w:val="00B55517"/>
    <w:rsid w:val="00B62F74"/>
    <w:rsid w:val="00B844D0"/>
    <w:rsid w:val="00B9490A"/>
    <w:rsid w:val="00BA43BB"/>
    <w:rsid w:val="00BA4A21"/>
    <w:rsid w:val="00BA6AF1"/>
    <w:rsid w:val="00BB47E7"/>
    <w:rsid w:val="00BB4E9C"/>
    <w:rsid w:val="00BE34DA"/>
    <w:rsid w:val="00C204B2"/>
    <w:rsid w:val="00C21ED4"/>
    <w:rsid w:val="00C24335"/>
    <w:rsid w:val="00C442EA"/>
    <w:rsid w:val="00C61635"/>
    <w:rsid w:val="00C76921"/>
    <w:rsid w:val="00C801AE"/>
    <w:rsid w:val="00CA29BF"/>
    <w:rsid w:val="00CA366D"/>
    <w:rsid w:val="00CB52CC"/>
    <w:rsid w:val="00CC1192"/>
    <w:rsid w:val="00CC2728"/>
    <w:rsid w:val="00CC2AC7"/>
    <w:rsid w:val="00CD2BAF"/>
    <w:rsid w:val="00CF1852"/>
    <w:rsid w:val="00D061DF"/>
    <w:rsid w:val="00D10DE9"/>
    <w:rsid w:val="00D21D7F"/>
    <w:rsid w:val="00D36069"/>
    <w:rsid w:val="00D43E65"/>
    <w:rsid w:val="00D56547"/>
    <w:rsid w:val="00D65A88"/>
    <w:rsid w:val="00D76C66"/>
    <w:rsid w:val="00D86056"/>
    <w:rsid w:val="00D97E0C"/>
    <w:rsid w:val="00DB2E7E"/>
    <w:rsid w:val="00DD33C7"/>
    <w:rsid w:val="00DD6B37"/>
    <w:rsid w:val="00DF14D9"/>
    <w:rsid w:val="00E3315E"/>
    <w:rsid w:val="00E53D56"/>
    <w:rsid w:val="00E744CF"/>
    <w:rsid w:val="00E845E8"/>
    <w:rsid w:val="00ED2B6F"/>
    <w:rsid w:val="00ED49E2"/>
    <w:rsid w:val="00EF57BA"/>
    <w:rsid w:val="00F02252"/>
    <w:rsid w:val="00F576F1"/>
    <w:rsid w:val="00F6046D"/>
    <w:rsid w:val="00F65106"/>
    <w:rsid w:val="00FA0560"/>
    <w:rsid w:val="00FF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4671"/>
  <w15:chartTrackingRefBased/>
  <w15:docId w15:val="{117AE8A6-412C-4616-A495-DE225CB7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67F"/>
    <w:rPr>
      <w:rFonts w:eastAsiaTheme="majorEastAsia" w:cstheme="majorBidi"/>
      <w:color w:val="272727" w:themeColor="text1" w:themeTint="D8"/>
    </w:rPr>
  </w:style>
  <w:style w:type="paragraph" w:styleId="Title">
    <w:name w:val="Title"/>
    <w:basedOn w:val="Normal"/>
    <w:next w:val="Normal"/>
    <w:link w:val="TitleChar"/>
    <w:uiPriority w:val="10"/>
    <w:qFormat/>
    <w:rsid w:val="00382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67F"/>
    <w:pPr>
      <w:spacing w:before="160"/>
      <w:jc w:val="center"/>
    </w:pPr>
    <w:rPr>
      <w:i/>
      <w:iCs/>
      <w:color w:val="404040" w:themeColor="text1" w:themeTint="BF"/>
    </w:rPr>
  </w:style>
  <w:style w:type="character" w:customStyle="1" w:styleId="QuoteChar">
    <w:name w:val="Quote Char"/>
    <w:basedOn w:val="DefaultParagraphFont"/>
    <w:link w:val="Quote"/>
    <w:uiPriority w:val="29"/>
    <w:rsid w:val="0038267F"/>
    <w:rPr>
      <w:i/>
      <w:iCs/>
      <w:color w:val="404040" w:themeColor="text1" w:themeTint="BF"/>
    </w:rPr>
  </w:style>
  <w:style w:type="paragraph" w:styleId="ListParagraph">
    <w:name w:val="List Paragraph"/>
    <w:basedOn w:val="Normal"/>
    <w:uiPriority w:val="34"/>
    <w:qFormat/>
    <w:rsid w:val="0038267F"/>
    <w:pPr>
      <w:ind w:left="720"/>
      <w:contextualSpacing/>
    </w:pPr>
  </w:style>
  <w:style w:type="character" w:styleId="IntenseEmphasis">
    <w:name w:val="Intense Emphasis"/>
    <w:basedOn w:val="DefaultParagraphFont"/>
    <w:uiPriority w:val="21"/>
    <w:qFormat/>
    <w:rsid w:val="0038267F"/>
    <w:rPr>
      <w:i/>
      <w:iCs/>
      <w:color w:val="0F4761" w:themeColor="accent1" w:themeShade="BF"/>
    </w:rPr>
  </w:style>
  <w:style w:type="paragraph" w:styleId="IntenseQuote">
    <w:name w:val="Intense Quote"/>
    <w:basedOn w:val="Normal"/>
    <w:next w:val="Normal"/>
    <w:link w:val="IntenseQuoteChar"/>
    <w:uiPriority w:val="30"/>
    <w:qFormat/>
    <w:rsid w:val="00382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67F"/>
    <w:rPr>
      <w:i/>
      <w:iCs/>
      <w:color w:val="0F4761" w:themeColor="accent1" w:themeShade="BF"/>
    </w:rPr>
  </w:style>
  <w:style w:type="character" w:styleId="IntenseReference">
    <w:name w:val="Intense Reference"/>
    <w:basedOn w:val="DefaultParagraphFont"/>
    <w:uiPriority w:val="32"/>
    <w:qFormat/>
    <w:rsid w:val="0038267F"/>
    <w:rPr>
      <w:b/>
      <w:bCs/>
      <w:smallCaps/>
      <w:color w:val="0F4761" w:themeColor="accent1" w:themeShade="BF"/>
      <w:spacing w:val="5"/>
    </w:rPr>
  </w:style>
  <w:style w:type="character" w:styleId="Hyperlink">
    <w:name w:val="Hyperlink"/>
    <w:basedOn w:val="DefaultParagraphFont"/>
    <w:uiPriority w:val="99"/>
    <w:unhideWhenUsed/>
    <w:rsid w:val="00527435"/>
    <w:rPr>
      <w:color w:val="467886" w:themeColor="hyperlink"/>
      <w:u w:val="single"/>
    </w:rPr>
  </w:style>
  <w:style w:type="character" w:styleId="UnresolvedMention">
    <w:name w:val="Unresolved Mention"/>
    <w:basedOn w:val="DefaultParagraphFont"/>
    <w:uiPriority w:val="99"/>
    <w:semiHidden/>
    <w:unhideWhenUsed/>
    <w:rsid w:val="00527435"/>
    <w:rPr>
      <w:color w:val="605E5C"/>
      <w:shd w:val="clear" w:color="auto" w:fill="E1DFDD"/>
    </w:rPr>
  </w:style>
  <w:style w:type="character" w:styleId="FollowedHyperlink">
    <w:name w:val="FollowedHyperlink"/>
    <w:basedOn w:val="DefaultParagraphFont"/>
    <w:uiPriority w:val="99"/>
    <w:semiHidden/>
    <w:unhideWhenUsed/>
    <w:rsid w:val="00D565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tigationtracker.law.georgetown.edu/wp-content/uploads/2026/01/Clover-Insurance-Company-v.-Department-of-Health-and-Human-Services-et-al_2026.05.27_ORDER-ON-MOTION-FOR-SUMMARY-JUDGMEN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1365</Words>
  <Characters>8050</Characters>
  <Application>Microsoft Office Word</Application>
  <DocSecurity>0</DocSecurity>
  <Lines>125</Lines>
  <Paragraphs>27</Paragraphs>
  <ScaleCrop>false</ScaleCrop>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 Tunstall</dc:creator>
  <cp:keywords/>
  <dc:description/>
  <cp:lastModifiedBy>Geni Tunstall</cp:lastModifiedBy>
  <cp:revision>154</cp:revision>
  <dcterms:created xsi:type="dcterms:W3CDTF">2026-06-02T15:49:00Z</dcterms:created>
  <dcterms:modified xsi:type="dcterms:W3CDTF">2026-06-04T18:03:00Z</dcterms:modified>
</cp:coreProperties>
</file>